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E9B5" w14:textId="6FBB24AA" w:rsidR="00053CA7" w:rsidRPr="005F0F07" w:rsidRDefault="00352F17" w:rsidP="005F0F07">
      <w:pPr>
        <w:jc w:val="center"/>
        <w:rPr>
          <w:b/>
          <w:bCs/>
          <w:sz w:val="32"/>
          <w:szCs w:val="32"/>
          <w:u w:val="single"/>
        </w:rPr>
      </w:pPr>
      <w:r w:rsidRPr="005F0F07">
        <w:rPr>
          <w:b/>
          <w:bCs/>
          <w:sz w:val="32"/>
          <w:szCs w:val="32"/>
          <w:u w:val="single"/>
        </w:rPr>
        <w:t>Greater Cambridge Emerging Local Plan- summary of draft policies- climate change and biodiversity- March 2026</w:t>
      </w:r>
    </w:p>
    <w:p w14:paraId="69B9B552" w14:textId="5B44FCE3" w:rsidR="00352F17" w:rsidRPr="000E66BF" w:rsidRDefault="00352F17">
      <w:pPr>
        <w:rPr>
          <w:b/>
          <w:bCs/>
          <w:u w:val="single"/>
        </w:rPr>
      </w:pPr>
      <w:r w:rsidRPr="00352F17">
        <w:t xml:space="preserve">Following policies are of interest </w:t>
      </w:r>
      <w:r w:rsidR="000E66BF">
        <w:t xml:space="preserve">– </w:t>
      </w:r>
      <w:r w:rsidR="000E66BF" w:rsidRPr="000E66BF">
        <w:rPr>
          <w:b/>
          <w:bCs/>
          <w:u w:val="single"/>
        </w:rPr>
        <w:t>highlighted and underlined- of note</w:t>
      </w:r>
    </w:p>
    <w:p w14:paraId="2C219704" w14:textId="2C468422" w:rsidR="000E66BF" w:rsidRPr="000E66BF" w:rsidRDefault="000E66BF">
      <w:pPr>
        <w:rPr>
          <w:u w:val="single"/>
        </w:rPr>
      </w:pPr>
      <w:r w:rsidRPr="000E66BF">
        <w:rPr>
          <w:u w:val="single"/>
        </w:rPr>
        <w:t>CLIMATE POLICIES</w:t>
      </w:r>
    </w:p>
    <w:p w14:paraId="488965D6" w14:textId="58A5D68C" w:rsidR="00352F17" w:rsidRDefault="00352F17">
      <w:r>
        <w:t>CC/SD- sustainable development and climate emergency</w:t>
      </w:r>
    </w:p>
    <w:p w14:paraId="325CD94C" w14:textId="092B924A" w:rsidR="00352F17" w:rsidRDefault="00352F17">
      <w:r>
        <w:t>CC/DC- Designing for</w:t>
      </w:r>
    </w:p>
    <w:p w14:paraId="4658E37E" w14:textId="6C3637E4" w:rsidR="00352F17" w:rsidRDefault="00352F17">
      <w:pPr>
        <w:rPr>
          <w:b/>
          <w:bCs/>
          <w:u w:val="single"/>
        </w:rPr>
      </w:pPr>
      <w:r w:rsidRPr="00352F17">
        <w:rPr>
          <w:b/>
          <w:bCs/>
          <w:u w:val="single"/>
        </w:rPr>
        <w:t>CC/NZ-</w:t>
      </w:r>
      <w:r>
        <w:rPr>
          <w:b/>
          <w:bCs/>
          <w:u w:val="single"/>
        </w:rPr>
        <w:t xml:space="preserve"> Net zero carbon for new buildings</w:t>
      </w:r>
    </w:p>
    <w:p w14:paraId="017F9581" w14:textId="51E1FB8F" w:rsidR="00352F17" w:rsidRDefault="00352F17">
      <w:pPr>
        <w:rPr>
          <w:b/>
          <w:bCs/>
          <w:u w:val="single"/>
        </w:rPr>
      </w:pPr>
      <w:r>
        <w:rPr>
          <w:b/>
          <w:bCs/>
          <w:u w:val="single"/>
        </w:rPr>
        <w:t>CC/WE-Water efficiency in new developments</w:t>
      </w:r>
    </w:p>
    <w:p w14:paraId="73281214" w14:textId="5F31039C" w:rsidR="00352F17" w:rsidRDefault="00352F17">
      <w:pPr>
        <w:rPr>
          <w:b/>
          <w:bCs/>
          <w:u w:val="single"/>
        </w:rPr>
      </w:pPr>
      <w:r>
        <w:rPr>
          <w:b/>
          <w:bCs/>
          <w:u w:val="single"/>
        </w:rPr>
        <w:t>CC/IW- integrated water management, sustainable drainage and water quality</w:t>
      </w:r>
    </w:p>
    <w:p w14:paraId="013064EC" w14:textId="4035B0C6" w:rsidR="00352F17" w:rsidRDefault="00352F17">
      <w:pPr>
        <w:rPr>
          <w:b/>
          <w:bCs/>
          <w:u w:val="single"/>
        </w:rPr>
      </w:pPr>
      <w:r>
        <w:rPr>
          <w:b/>
          <w:bCs/>
          <w:u w:val="single"/>
        </w:rPr>
        <w:t>CC/FM- (g) peak rate of run off-allowing for climate change</w:t>
      </w:r>
      <w:r w:rsidR="00D4536B">
        <w:rPr>
          <w:b/>
          <w:bCs/>
          <w:u w:val="single"/>
        </w:rPr>
        <w:t xml:space="preserve"> </w:t>
      </w:r>
      <w:r>
        <w:rPr>
          <w:b/>
          <w:bCs/>
          <w:u w:val="single"/>
        </w:rPr>
        <w:t xml:space="preserve">is no greater for the new development site then it was for the </w:t>
      </w:r>
      <w:r w:rsidR="00D4536B">
        <w:rPr>
          <w:b/>
          <w:bCs/>
          <w:u w:val="single"/>
        </w:rPr>
        <w:t xml:space="preserve">undeveloped greenfield site. Betterment must </w:t>
      </w:r>
      <w:proofErr w:type="gramStart"/>
      <w:r w:rsidR="00D4536B">
        <w:rPr>
          <w:b/>
          <w:bCs/>
          <w:u w:val="single"/>
        </w:rPr>
        <w:t>be  provided</w:t>
      </w:r>
      <w:proofErr w:type="gramEnd"/>
      <w:r w:rsidR="00D4536B">
        <w:rPr>
          <w:b/>
          <w:bCs/>
          <w:u w:val="single"/>
        </w:rPr>
        <w:t xml:space="preserve"> on previously developed sites.</w:t>
      </w:r>
    </w:p>
    <w:p w14:paraId="267D57B9" w14:textId="2EECDB77" w:rsidR="00D4536B" w:rsidRDefault="00D4536B">
      <w:pPr>
        <w:rPr>
          <w:b/>
          <w:bCs/>
          <w:u w:val="single"/>
        </w:rPr>
      </w:pPr>
      <w:r>
        <w:rPr>
          <w:b/>
          <w:bCs/>
          <w:u w:val="single"/>
        </w:rPr>
        <w:t xml:space="preserve">CC/RE- Renewable energy projects and infrastructure -7) community led renewable and low carbon energy initiatives are encouraged and will be given positive weight in decision making alongside additional social and community benefits. </w:t>
      </w:r>
    </w:p>
    <w:p w14:paraId="1BD3815D" w14:textId="167A82F7" w:rsidR="00D4536B" w:rsidRDefault="00D4536B">
      <w:pPr>
        <w:rPr>
          <w:b/>
          <w:bCs/>
          <w:u w:val="single"/>
        </w:rPr>
      </w:pPr>
      <w:r>
        <w:rPr>
          <w:b/>
          <w:bCs/>
          <w:u w:val="single"/>
        </w:rPr>
        <w:t>CC/CE- Supporting circular economy/sustainable resource use (repair/reuse/refurbish) rather than new.</w:t>
      </w:r>
    </w:p>
    <w:p w14:paraId="72CBD7AF" w14:textId="50D0FC04" w:rsidR="00D4536B" w:rsidRDefault="00D4536B">
      <w:r>
        <w:t>CC/CS- Peat soil protection policy</w:t>
      </w:r>
    </w:p>
    <w:p w14:paraId="2ED001B2" w14:textId="4ED80D4D" w:rsidR="00D4536B" w:rsidRPr="000E66BF" w:rsidRDefault="00D4536B">
      <w:pPr>
        <w:rPr>
          <w:u w:val="single"/>
        </w:rPr>
      </w:pPr>
      <w:r w:rsidRPr="000E66BF">
        <w:rPr>
          <w:u w:val="single"/>
        </w:rPr>
        <w:t>BIODIVERSITY POLICIES</w:t>
      </w:r>
    </w:p>
    <w:p w14:paraId="3108C5CD" w14:textId="166FEB8D" w:rsidR="00D4536B" w:rsidRPr="000E66BF" w:rsidRDefault="00D4536B">
      <w:pPr>
        <w:rPr>
          <w:b/>
          <w:bCs/>
          <w:u w:val="single"/>
        </w:rPr>
      </w:pPr>
      <w:r w:rsidRPr="000E66BF">
        <w:rPr>
          <w:b/>
          <w:bCs/>
          <w:u w:val="single"/>
        </w:rPr>
        <w:t>Major development must provide a minimum of 20% Biodiversity Net gain</w:t>
      </w:r>
    </w:p>
    <w:p w14:paraId="1380FB13" w14:textId="1A4D0927" w:rsidR="00D4536B" w:rsidRDefault="00D4536B">
      <w:r>
        <w:t>BG/GI- Blue and green infrastructure</w:t>
      </w:r>
    </w:p>
    <w:p w14:paraId="7303494D" w14:textId="4DBACBB7" w:rsidR="00D4536B" w:rsidRDefault="00D4536B">
      <w:pPr>
        <w:rPr>
          <w:b/>
          <w:bCs/>
          <w:u w:val="single"/>
        </w:rPr>
      </w:pPr>
      <w:r w:rsidRPr="00D4536B">
        <w:rPr>
          <w:b/>
          <w:bCs/>
          <w:u w:val="single"/>
        </w:rPr>
        <w:t>BG/TC- Tree canopy a minimum of 30%</w:t>
      </w:r>
    </w:p>
    <w:p w14:paraId="55DDF807" w14:textId="1558CFA0" w:rsidR="00D4536B" w:rsidRDefault="00D4536B">
      <w:pPr>
        <w:rPr>
          <w:b/>
          <w:bCs/>
          <w:u w:val="single"/>
        </w:rPr>
      </w:pPr>
      <w:r>
        <w:rPr>
          <w:b/>
          <w:bCs/>
          <w:u w:val="single"/>
        </w:rPr>
        <w:t>BG/RC- Riparian buffer zone 15m</w:t>
      </w:r>
    </w:p>
    <w:p w14:paraId="31051F57" w14:textId="1422E3B8" w:rsidR="00D4536B" w:rsidRDefault="00D4536B">
      <w:r>
        <w:t>BG/PO- Protecting open spaces</w:t>
      </w:r>
    </w:p>
    <w:p w14:paraId="641C21CD" w14:textId="313B8EFC" w:rsidR="00D4536B" w:rsidRPr="00D4536B" w:rsidRDefault="00D4536B">
      <w:r>
        <w:t xml:space="preserve">BG/EO-Providing and enhancing Open Spaces- accessible green space quality standard per 1,000 population, </w:t>
      </w:r>
      <w:proofErr w:type="spellStart"/>
      <w:r w:rsidRPr="000E66BF">
        <w:rPr>
          <w:b/>
          <w:bCs/>
          <w:u w:val="single"/>
        </w:rPr>
        <w:t>incl</w:t>
      </w:r>
      <w:proofErr w:type="spellEnd"/>
      <w:r w:rsidRPr="000E66BF">
        <w:rPr>
          <w:b/>
          <w:bCs/>
          <w:u w:val="single"/>
        </w:rPr>
        <w:t xml:space="preserve"> 0.4ha growing space per 1,000 population</w:t>
      </w:r>
    </w:p>
    <w:p w14:paraId="67F79753" w14:textId="77777777" w:rsidR="00D4536B" w:rsidRDefault="00D4536B"/>
    <w:p w14:paraId="0FA731B4" w14:textId="25BA2981" w:rsidR="000E66BF" w:rsidRDefault="000E66BF">
      <w:r>
        <w:t>KR</w:t>
      </w:r>
    </w:p>
    <w:p w14:paraId="5F1DD009" w14:textId="570FBB50" w:rsidR="000E66BF" w:rsidRDefault="000E66BF">
      <w:r>
        <w:t>26-03-26</w:t>
      </w:r>
    </w:p>
    <w:p w14:paraId="2D6E7C92" w14:textId="77777777" w:rsidR="003A2F5D" w:rsidRDefault="003A2F5D"/>
    <w:p w14:paraId="5AF94DDB" w14:textId="5A503FEF" w:rsidR="003A2F5D" w:rsidRDefault="003A2F5D">
      <w:r>
        <w:lastRenderedPageBreak/>
        <w:t>CC/NZ</w:t>
      </w:r>
    </w:p>
    <w:p w14:paraId="7D47C71C"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Where appropriate new development must achieve net zero operational emissions by following a hierarchical approach of reducing heat and power demand then supplying all energy demand through onsite energy generation. Through the submission of an appropriate energy assessment incorporating energy performance calculations undertaken using a methodology capable of providing accurate predictions of total in-use energy (e.g. CIBSE TM54 or the Planning Package), proposed new development will demonstrate the following hierarchical approach: </w:t>
      </w:r>
    </w:p>
    <w:p w14:paraId="45AE74E8" w14:textId="77777777" w:rsidR="003A2F5D" w:rsidRPr="003A2F5D" w:rsidRDefault="003A2F5D" w:rsidP="003A2F5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A2F5D">
        <w:rPr>
          <w:rFonts w:ascii="Times New Roman" w:eastAsia="Times New Roman" w:hAnsi="Times New Roman" w:cs="Times New Roman"/>
          <w:b/>
          <w:bCs/>
          <w:kern w:val="0"/>
          <w:sz w:val="27"/>
          <w:szCs w:val="27"/>
          <w:lang w:eastAsia="en-GB"/>
          <w14:ligatures w14:val="none"/>
        </w:rPr>
        <w:t>Net Zero Carbon buildings – operational emissions </w:t>
      </w:r>
    </w:p>
    <w:p w14:paraId="50C7CC4F"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b/>
          <w:bCs/>
          <w:kern w:val="0"/>
          <w:lang w:eastAsia="en-GB"/>
          <w14:ligatures w14:val="none"/>
        </w:rPr>
        <w:t>Part A: Space heating </w:t>
      </w:r>
    </w:p>
    <w:p w14:paraId="1BF5DF59"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1. Achieve a specific space heating demand as follows: </w:t>
      </w:r>
    </w:p>
    <w:p w14:paraId="42861B58" w14:textId="77777777" w:rsidR="003A2F5D" w:rsidRPr="003A2F5D" w:rsidRDefault="003A2F5D" w:rsidP="003A2F5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All new dwellings must achieve a space heating demand of 15 – 20 kWh per meter squared per year. </w:t>
      </w:r>
    </w:p>
    <w:p w14:paraId="2DD3D9C9" w14:textId="77777777" w:rsidR="003A2F5D" w:rsidRPr="003A2F5D" w:rsidRDefault="003A2F5D" w:rsidP="003A2F5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All new non-domestic buildings must achieve a space heating demand of 15 – 20 kWh per meter squared per year. </w:t>
      </w:r>
    </w:p>
    <w:p w14:paraId="3356AD31"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2. All heating should be provided through low carbon fuels (not fossil fuels). </w:t>
      </w:r>
    </w:p>
    <w:p w14:paraId="1F3EFAFB"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3. No new developments should be connected to the gas grid. </w:t>
      </w:r>
    </w:p>
    <w:p w14:paraId="4E2F4247"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b/>
          <w:bCs/>
          <w:kern w:val="0"/>
          <w:lang w:eastAsia="en-GB"/>
          <w14:ligatures w14:val="none"/>
        </w:rPr>
        <w:t>Part B: Total Energy Use Intensity (EUI) </w:t>
      </w:r>
    </w:p>
    <w:p w14:paraId="060E887F"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4. EUI targets are achieved as per building type (set out in kWh per meter squared per year) as follows: </w:t>
      </w:r>
    </w:p>
    <w:p w14:paraId="7697166C" w14:textId="77777777" w:rsidR="003A2F5D" w:rsidRPr="003A2F5D" w:rsidRDefault="003A2F5D" w:rsidP="003A2F5D">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All dwellings must achieve an EUI of no more than 35 kWh per meter squared per year. </w:t>
      </w:r>
    </w:p>
    <w:p w14:paraId="1D442679" w14:textId="77777777" w:rsidR="003A2F5D" w:rsidRPr="003A2F5D" w:rsidRDefault="003A2F5D" w:rsidP="003A2F5D">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Non-domestic buildings must achieve the following EUI where technically feasible and viable by building type: </w:t>
      </w:r>
    </w:p>
    <w:p w14:paraId="5A849F89"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xml:space="preserve">          </w:t>
      </w:r>
      <w:proofErr w:type="spellStart"/>
      <w:r w:rsidRPr="003A2F5D">
        <w:rPr>
          <w:rFonts w:ascii="Times New Roman" w:eastAsia="Times New Roman" w:hAnsi="Times New Roman" w:cs="Times New Roman"/>
          <w:kern w:val="0"/>
          <w:lang w:eastAsia="en-GB"/>
          <w14:ligatures w14:val="none"/>
        </w:rPr>
        <w:t>i</w:t>
      </w:r>
      <w:proofErr w:type="spellEnd"/>
      <w:r w:rsidRPr="003A2F5D">
        <w:rPr>
          <w:rFonts w:ascii="Times New Roman" w:eastAsia="Times New Roman" w:hAnsi="Times New Roman" w:cs="Times New Roman"/>
          <w:kern w:val="0"/>
          <w:lang w:eastAsia="en-GB"/>
          <w14:ligatures w14:val="none"/>
        </w:rPr>
        <w:t>. Offices: Equivalent to the UK Net Zero Carbon Buildings Standard 2030 targets (and sub-typologies where available). </w:t>
      </w:r>
    </w:p>
    <w:p w14:paraId="2CE931B9"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ii. Schools: 65 kWh per meter squared per year. </w:t>
      </w:r>
    </w:p>
    <w:p w14:paraId="09254FB7"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xml:space="preserve">          iii. </w:t>
      </w:r>
      <w:proofErr w:type="gramStart"/>
      <w:r w:rsidRPr="003A2F5D">
        <w:rPr>
          <w:rFonts w:ascii="Times New Roman" w:eastAsia="Times New Roman" w:hAnsi="Times New Roman" w:cs="Times New Roman"/>
          <w:kern w:val="0"/>
          <w:lang w:eastAsia="en-GB"/>
          <w14:ligatures w14:val="none"/>
        </w:rPr>
        <w:t>Multi-residential</w:t>
      </w:r>
      <w:proofErr w:type="gramEnd"/>
      <w:r w:rsidRPr="003A2F5D">
        <w:rPr>
          <w:rFonts w:ascii="Times New Roman" w:eastAsia="Times New Roman" w:hAnsi="Times New Roman" w:cs="Times New Roman"/>
          <w:kern w:val="0"/>
          <w:lang w:eastAsia="en-GB"/>
          <w14:ligatures w14:val="none"/>
        </w:rPr>
        <w:t xml:space="preserve"> (e.g. student accommodation): Equivalent to the UK Net Zero Carbon Buildings Standard 2030 targets (and sub-typologies where available). </w:t>
      </w:r>
    </w:p>
    <w:p w14:paraId="776FDA39"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iv. Retail: Equivalent to the UK Net Zero Carbon Buildings Standard 2030 targets (and sub-typologies where available). </w:t>
      </w:r>
    </w:p>
    <w:p w14:paraId="1913A622"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v. Leisure: Equivalent to the UK Net Zero Carbon Buildings Standard 2030 targets (and sub-typologies where available). </w:t>
      </w:r>
    </w:p>
    <w:p w14:paraId="21D92FB5"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lastRenderedPageBreak/>
        <w:t>          vi. Research facility: Equivalent to the UK Net Zero Carbon Buildings Standard 2030 targets (and sub-typologies where available). </w:t>
      </w:r>
    </w:p>
    <w:p w14:paraId="240805ED"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vii. Higher education teaching facilities: Equivalent to the UK Net Zero Carbon Buildings Standard 2030 targets (and sub-typologies where available). </w:t>
      </w:r>
    </w:p>
    <w:p w14:paraId="62D82066"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viii. Light industrial uses: Equivalent to the UK Net Zero Carbon Buildings Standard 2030 targets (and sub-typologies where available). </w:t>
      </w:r>
    </w:p>
    <w:p w14:paraId="185FD7F4"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ix. Hotel: Equivalent to the UK Net Zero Carbon Buildings Standard 2030 targets (and sub-typologies where available). </w:t>
      </w:r>
    </w:p>
    <w:p w14:paraId="2FEC5886"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b/>
          <w:bCs/>
          <w:kern w:val="0"/>
          <w:lang w:eastAsia="en-GB"/>
          <w14:ligatures w14:val="none"/>
        </w:rPr>
        <w:t>Part C: Energy performance/Onsite Renewable Energy </w:t>
      </w:r>
    </w:p>
    <w:p w14:paraId="190CDEF4"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5. Proposals must seek to maximise opportunities to generate on-site renewable energy to enable the development, where possible, to achieve all energy demands through onsite energy generation. </w:t>
      </w:r>
    </w:p>
    <w:p w14:paraId="1DD1FB0D"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b/>
          <w:bCs/>
          <w:kern w:val="0"/>
          <w:lang w:eastAsia="en-GB"/>
          <w14:ligatures w14:val="none"/>
        </w:rPr>
        <w:t>Part D: Energy Offsetting and Assured Performance </w:t>
      </w:r>
    </w:p>
    <w:p w14:paraId="1B98F558"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6. Where economic viability or technical constraints prevent policy compliance, proposals must first and foremost strive to meet the space heating and total energy consumption thresholds. Proposals must then benefit as much as possible from onsite renewable energy generation. Energy offsetting should only be used as a last resort (for example where there is limited roof space to generate renewable energy). Offsetting payments must be used to invest in additional renewable energy generation to ensure that net zero carbon buildings are delivered. These offsets will primarily be delivered via developer contributions to a fund which would be ring- fenced for use only to deliver local projects that would deliver the required shortfall in renewable energy. In some cases, it may be acceptable for the developer to conduct direct delivery of these local energy offsetting projects rather than provide a financial contribution, subject to council approval of the proposed projects based on meeting criteria around their effectiveness, suitability and guaranteed delivery timescales. </w:t>
      </w:r>
    </w:p>
    <w:p w14:paraId="5608FFB8"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 xml:space="preserve">7. All applicable developments must demonstrate use of an assured performance method </w:t>
      </w:r>
      <w:proofErr w:type="gramStart"/>
      <w:r w:rsidRPr="003A2F5D">
        <w:rPr>
          <w:rFonts w:ascii="Times New Roman" w:eastAsia="Times New Roman" w:hAnsi="Times New Roman" w:cs="Times New Roman"/>
          <w:kern w:val="0"/>
          <w:lang w:eastAsia="en-GB"/>
          <w14:ligatures w14:val="none"/>
        </w:rPr>
        <w:t>in order to</w:t>
      </w:r>
      <w:proofErr w:type="gramEnd"/>
      <w:r w:rsidRPr="003A2F5D">
        <w:rPr>
          <w:rFonts w:ascii="Times New Roman" w:eastAsia="Times New Roman" w:hAnsi="Times New Roman" w:cs="Times New Roman"/>
          <w:kern w:val="0"/>
          <w:lang w:eastAsia="en-GB"/>
          <w14:ligatures w14:val="none"/>
        </w:rPr>
        <w:t xml:space="preserve"> ensure that the buildings’ operational energy performance reflects design intentions and addresses the performance gap which may be secured via condition. </w:t>
      </w:r>
    </w:p>
    <w:p w14:paraId="32470C03" w14:textId="77777777" w:rsidR="003A2F5D" w:rsidRPr="003A2F5D" w:rsidRDefault="003A2F5D" w:rsidP="003A2F5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A2F5D">
        <w:rPr>
          <w:rFonts w:ascii="Times New Roman" w:eastAsia="Times New Roman" w:hAnsi="Times New Roman" w:cs="Times New Roman"/>
          <w:b/>
          <w:bCs/>
          <w:kern w:val="0"/>
          <w:sz w:val="27"/>
          <w:szCs w:val="27"/>
          <w:lang w:eastAsia="en-GB"/>
          <w14:ligatures w14:val="none"/>
        </w:rPr>
        <w:t>Net Zero Carbon Buildings – construction and embodied carbon </w:t>
      </w:r>
    </w:p>
    <w:p w14:paraId="6AA4A495" w14:textId="77777777" w:rsidR="003A2F5D" w:rsidRPr="003A2F5D" w:rsidRDefault="003A2F5D" w:rsidP="003A2F5D">
      <w:pPr>
        <w:spacing w:before="100" w:beforeAutospacing="1" w:after="100" w:afterAutospacing="1" w:line="240" w:lineRule="auto"/>
        <w:rPr>
          <w:rFonts w:ascii="Times New Roman" w:eastAsia="Times New Roman" w:hAnsi="Times New Roman" w:cs="Times New Roman"/>
          <w:kern w:val="0"/>
          <w:lang w:eastAsia="en-GB"/>
          <w14:ligatures w14:val="none"/>
        </w:rPr>
      </w:pPr>
      <w:r w:rsidRPr="003A2F5D">
        <w:rPr>
          <w:rFonts w:ascii="Times New Roman" w:eastAsia="Times New Roman" w:hAnsi="Times New Roman" w:cs="Times New Roman"/>
          <w:kern w:val="0"/>
          <w:lang w:eastAsia="en-GB"/>
          <w14:ligatures w14:val="none"/>
        </w:rPr>
        <w:t>8. All major development must calculate whole life carbon emissions through a nationally recognised whole life carbon assessment tool and demonstrate actions to reduce up-front embodied carbon emissions (modules A1-A5 of the RICS methodology) through good design and material efficiency. This should include reducing emissions associated with construction plant.</w:t>
      </w:r>
    </w:p>
    <w:p w14:paraId="2E2BD298" w14:textId="77777777" w:rsidR="003A2F5D" w:rsidRPr="00D4536B" w:rsidRDefault="003A2F5D"/>
    <w:p w14:paraId="2EABBAC9" w14:textId="7E1D56C5" w:rsidR="00352F17" w:rsidRDefault="00BC12A0">
      <w:r>
        <w:t>CC/WE</w:t>
      </w:r>
    </w:p>
    <w:p w14:paraId="68A2B9D7" w14:textId="77777777" w:rsidR="005037C6" w:rsidRDefault="005037C6" w:rsidP="005037C6">
      <w:pPr>
        <w:pStyle w:val="NormalWeb"/>
      </w:pPr>
      <w:r>
        <w:lastRenderedPageBreak/>
        <w:t>1. All development proposals (</w:t>
      </w:r>
      <w:proofErr w:type="gramStart"/>
      <w:r>
        <w:t>with the exception of</w:t>
      </w:r>
      <w:proofErr w:type="gramEnd"/>
      <w:r>
        <w:t xml:space="preserve"> householder applications) must demonstrate that there will be an adequate water supply available to serve the development. Where development is being phased, each phase must demonstrate sufficient water supply and the provision of the necessary infrastructure prior to occupation of that phase of development. </w:t>
      </w:r>
    </w:p>
    <w:p w14:paraId="45C062E5" w14:textId="77777777" w:rsidR="005037C6" w:rsidRDefault="005037C6" w:rsidP="005037C6">
      <w:pPr>
        <w:pStyle w:val="NormalWeb"/>
      </w:pPr>
      <w:r>
        <w:t>2. All development must demonstrate highly water efficient design in line with the following requirements: </w:t>
      </w:r>
    </w:p>
    <w:p w14:paraId="009EB35A" w14:textId="77777777" w:rsidR="005037C6" w:rsidRDefault="005037C6" w:rsidP="005037C6">
      <w:pPr>
        <w:pStyle w:val="NormalWeb"/>
      </w:pPr>
      <w:r>
        <w:t>  a. for residential development of 100 or more dwellings, water usage of no more than 80 litres/person/day. To achieve this level, some form of water reuse or recycling will be necessary with dual pipe systems for potable and non-potable water, subject to amendments to relevant water legislation. Proposals that seek to deliver levels of water usage below this level are encouraged. </w:t>
      </w:r>
    </w:p>
    <w:p w14:paraId="63533419" w14:textId="77777777" w:rsidR="005037C6" w:rsidRDefault="005037C6" w:rsidP="005037C6">
      <w:pPr>
        <w:pStyle w:val="NormalWeb"/>
      </w:pPr>
      <w:r>
        <w:t>  b. for residential development of less than 100 dwellings, water usage of between 90 to 100 litres/person/day. Proposals that seek to deliver levels of water usage below this level are encouraged. </w:t>
      </w:r>
    </w:p>
    <w:p w14:paraId="0A0289F7" w14:textId="77777777" w:rsidR="005037C6" w:rsidRDefault="005037C6" w:rsidP="005037C6">
      <w:pPr>
        <w:pStyle w:val="NormalWeb"/>
      </w:pPr>
      <w:r>
        <w:t>  c. for non-residential development, 5 credits for category Wat 01 of BREEAM, unless demonstrated not practicable. Also, full credits for category Wat 02 and category Wat 03 of BREEAM. </w:t>
      </w:r>
    </w:p>
    <w:p w14:paraId="1E73705F" w14:textId="77777777" w:rsidR="005037C6" w:rsidRDefault="005037C6" w:rsidP="005037C6">
      <w:pPr>
        <w:pStyle w:val="NormalWeb"/>
      </w:pPr>
      <w:r>
        <w:t>  d. for non-residential developments that use water as part of a commercial process(es), full credits for category Wat 04 of BREEAM. </w:t>
      </w:r>
    </w:p>
    <w:p w14:paraId="4DAAA35C" w14:textId="77777777" w:rsidR="005037C6" w:rsidRDefault="005037C6" w:rsidP="005037C6">
      <w:pPr>
        <w:pStyle w:val="NormalWeb"/>
      </w:pPr>
      <w:r>
        <w:t>  e. proposals involving the refurbishment or change of use of existing buildings should undertake retrofitting to increase water efficiency. </w:t>
      </w:r>
    </w:p>
    <w:p w14:paraId="2649D8C4" w14:textId="77777777" w:rsidR="005037C6" w:rsidRDefault="005037C6" w:rsidP="005037C6">
      <w:pPr>
        <w:pStyle w:val="NormalWeb"/>
      </w:pPr>
      <w:r>
        <w:t>3. Details of any water reuse or recycling system must be provided in the Sustainability Statement, showing the location of infrastructure and including details of how it will be managed and maintained. </w:t>
      </w:r>
    </w:p>
    <w:p w14:paraId="7A0D9098" w14:textId="77777777" w:rsidR="005037C6" w:rsidRDefault="005037C6" w:rsidP="005037C6">
      <w:pPr>
        <w:pStyle w:val="NormalWeb"/>
      </w:pPr>
      <w:r>
        <w:t>4. Each individual dwelling, including flats within a larger building, must have its own water meter to enable the monitoring of water use. </w:t>
      </w:r>
    </w:p>
    <w:p w14:paraId="75711CAA" w14:textId="77777777" w:rsidR="005037C6" w:rsidRDefault="005037C6" w:rsidP="005037C6">
      <w:pPr>
        <w:pStyle w:val="NormalWeb"/>
      </w:pPr>
      <w:r>
        <w:t>5. All new dwellings with private outdoor amenity space should provide a water butt for collection of rainwater for outdoor irrigation. The use of rainwater should be prioritised for outdoor irrigation of shared amenity space/ landscape areas in residential developments and non-residential developments.</w:t>
      </w:r>
    </w:p>
    <w:p w14:paraId="1F2C41F9" w14:textId="51661134" w:rsidR="00BC12A0" w:rsidRDefault="00D8709E">
      <w:r>
        <w:t>CC/IW</w:t>
      </w:r>
    </w:p>
    <w:p w14:paraId="5481FE84" w14:textId="77777777" w:rsidR="00D8709E" w:rsidRDefault="00D8709E" w:rsidP="00D8709E">
      <w:pPr>
        <w:pStyle w:val="NormalWeb"/>
      </w:pPr>
      <w:r>
        <w:t>1. All development proposals must adopt an integrated approach to water management which considers water efficiency, sustainable drainage, water quality, flood risk and biodiversity. Water management must be: </w:t>
      </w:r>
    </w:p>
    <w:p w14:paraId="1A0DF4C2" w14:textId="77777777" w:rsidR="00D8709E" w:rsidRDefault="00D8709E" w:rsidP="00D8709E">
      <w:pPr>
        <w:pStyle w:val="NormalWeb"/>
      </w:pPr>
      <w:r>
        <w:t>  a. planned at a strategic level for the whole development; </w:t>
      </w:r>
    </w:p>
    <w:p w14:paraId="2473720C" w14:textId="77777777" w:rsidR="00D8709E" w:rsidRDefault="00D8709E" w:rsidP="00D8709E">
      <w:pPr>
        <w:pStyle w:val="NormalWeb"/>
      </w:pPr>
      <w:r>
        <w:t>  b. incorporated into the design process at the earliest opportunity; </w:t>
      </w:r>
    </w:p>
    <w:p w14:paraId="7BEAF958" w14:textId="77777777" w:rsidR="00D8709E" w:rsidRDefault="00D8709E" w:rsidP="00D8709E">
      <w:pPr>
        <w:pStyle w:val="NormalWeb"/>
      </w:pPr>
      <w:r>
        <w:lastRenderedPageBreak/>
        <w:t>  c. designed in such a way that does not prejudice the delivery of development at an adjoining site; and </w:t>
      </w:r>
    </w:p>
    <w:p w14:paraId="006C8DA6" w14:textId="77777777" w:rsidR="00D8709E" w:rsidRDefault="00D8709E" w:rsidP="00D8709E">
      <w:pPr>
        <w:pStyle w:val="NormalWeb"/>
      </w:pPr>
      <w:r>
        <w:t>  d. designed in such a way that makes use of nature-based solutions wherever practicable. </w:t>
      </w:r>
    </w:p>
    <w:p w14:paraId="5F82C356" w14:textId="77777777" w:rsidR="00D8709E" w:rsidRDefault="00D8709E" w:rsidP="00D8709E">
      <w:pPr>
        <w:pStyle w:val="NormalWeb"/>
      </w:pPr>
      <w:r>
        <w:t>2. Evidence of a site-wide approach should be provided as part of a Sustainability Statement. </w:t>
      </w:r>
    </w:p>
    <w:p w14:paraId="368CB6A0" w14:textId="77777777" w:rsidR="00D8709E" w:rsidRDefault="00D8709E" w:rsidP="00D8709E">
      <w:pPr>
        <w:pStyle w:val="NormalWeb"/>
      </w:pPr>
      <w:r>
        <w:rPr>
          <w:rStyle w:val="Strong"/>
          <w:rFonts w:eastAsiaTheme="majorEastAsia"/>
        </w:rPr>
        <w:t>Sustainable Drainage Systems </w:t>
      </w:r>
    </w:p>
    <w:p w14:paraId="4F46EB25" w14:textId="77777777" w:rsidR="00D8709E" w:rsidRDefault="00D8709E" w:rsidP="00D8709E">
      <w:pPr>
        <w:pStyle w:val="NormalWeb"/>
      </w:pPr>
      <w:r>
        <w:t>3. proposals must demonstrate how adequate surface-water drainage will be achieved, following the surface water drainage priority order set out below: </w:t>
      </w:r>
    </w:p>
    <w:p w14:paraId="6EB7CE2B" w14:textId="77777777" w:rsidR="00D8709E" w:rsidRDefault="00D8709E" w:rsidP="00D8709E">
      <w:pPr>
        <w:pStyle w:val="NormalWeb"/>
      </w:pPr>
      <w:r>
        <w:t>  a. Firstly, surface water runoff is collected for non-potable use; </w:t>
      </w:r>
    </w:p>
    <w:p w14:paraId="1C6D3EC2" w14:textId="77777777" w:rsidR="00D8709E" w:rsidRDefault="00D8709E" w:rsidP="00D8709E">
      <w:pPr>
        <w:pStyle w:val="NormalWeb"/>
      </w:pPr>
      <w:r>
        <w:t>  b. Then discharged into the ground via infiltration; </w:t>
      </w:r>
    </w:p>
    <w:p w14:paraId="260D6B20" w14:textId="77777777" w:rsidR="00D8709E" w:rsidRDefault="00D8709E" w:rsidP="00D8709E">
      <w:pPr>
        <w:pStyle w:val="NormalWeb"/>
      </w:pPr>
      <w:r>
        <w:t>  c. Then discharged into a waterbody; </w:t>
      </w:r>
    </w:p>
    <w:p w14:paraId="6BD36B83" w14:textId="77777777" w:rsidR="00D8709E" w:rsidRDefault="00D8709E" w:rsidP="00D8709E">
      <w:pPr>
        <w:pStyle w:val="NormalWeb"/>
      </w:pPr>
      <w:r>
        <w:t>  d. Then discharged into a surface water sewer; </w:t>
      </w:r>
    </w:p>
    <w:p w14:paraId="28D065F8" w14:textId="77777777" w:rsidR="00D8709E" w:rsidRDefault="00D8709E" w:rsidP="00D8709E">
      <w:pPr>
        <w:pStyle w:val="NormalWeb"/>
      </w:pPr>
      <w:r>
        <w:t>  e. Then discharged into a combined sewer. </w:t>
      </w:r>
    </w:p>
    <w:p w14:paraId="5DE4ABCA" w14:textId="77777777" w:rsidR="00D8709E" w:rsidRDefault="00D8709E" w:rsidP="00D8709E">
      <w:pPr>
        <w:pStyle w:val="NormalWeb"/>
      </w:pPr>
      <w:r>
        <w:t>4. New development must incorporate Sustainable Drainage Systems (</w:t>
      </w:r>
      <w:proofErr w:type="spellStart"/>
      <w:r>
        <w:t>SuDS</w:t>
      </w:r>
      <w:proofErr w:type="spellEnd"/>
      <w:r>
        <w:t>) as part of an approach to the design of the whole site. will be permitted provided that: </w:t>
      </w:r>
    </w:p>
    <w:p w14:paraId="289F5647" w14:textId="77777777" w:rsidR="00D8709E" w:rsidRDefault="00D8709E" w:rsidP="00D8709E">
      <w:pPr>
        <w:pStyle w:val="NormalWeb"/>
      </w:pPr>
      <w:r>
        <w:t>  a. surface water is managed close to its source and on the surface where reasonably practicable to do so; </w:t>
      </w:r>
    </w:p>
    <w:p w14:paraId="03BD98DF" w14:textId="77777777" w:rsidR="00D8709E" w:rsidRDefault="00D8709E" w:rsidP="00D8709E">
      <w:pPr>
        <w:pStyle w:val="NormalWeb"/>
      </w:pPr>
      <w:r>
        <w:t>  b. there is no discharge from the developed site for rainfall depths up to 5mm of any rainfall event; </w:t>
      </w:r>
    </w:p>
    <w:p w14:paraId="1B9E4388" w14:textId="77777777" w:rsidR="00D8709E" w:rsidRDefault="00D8709E" w:rsidP="00D8709E">
      <w:pPr>
        <w:pStyle w:val="NormalWeb"/>
      </w:pPr>
      <w:r>
        <w:t xml:space="preserve">  c. </w:t>
      </w:r>
      <w:proofErr w:type="spellStart"/>
      <w:r>
        <w:t>SuDS</w:t>
      </w:r>
      <w:proofErr w:type="spellEnd"/>
      <w:r>
        <w:t xml:space="preserve"> have been designed to </w:t>
      </w:r>
      <w:proofErr w:type="gramStart"/>
      <w:r>
        <w:t>take into account</w:t>
      </w:r>
      <w:proofErr w:type="gramEnd"/>
      <w:r>
        <w:t xml:space="preserve"> climate change and the impact it may have over the lifetime of the development; </w:t>
      </w:r>
    </w:p>
    <w:p w14:paraId="21918BCE" w14:textId="77777777" w:rsidR="00D8709E" w:rsidRDefault="00D8709E" w:rsidP="00D8709E">
      <w:pPr>
        <w:pStyle w:val="NormalWeb"/>
      </w:pPr>
      <w:r>
        <w:t xml:space="preserve">  d. opportunities have been taken to integrate </w:t>
      </w:r>
      <w:proofErr w:type="spellStart"/>
      <w:r>
        <w:t>SuDS</w:t>
      </w:r>
      <w:proofErr w:type="spellEnd"/>
      <w:r>
        <w:t xml:space="preserve"> in ways that create amenity, enhance biodiversity, and contribute to a network of high-quality green and blue open space, whilst also ensuring the development responds positively to the local character and site-specific constraints; </w:t>
      </w:r>
    </w:p>
    <w:p w14:paraId="67AD17AE" w14:textId="77777777" w:rsidR="00D8709E" w:rsidRDefault="00D8709E" w:rsidP="00D8709E">
      <w:pPr>
        <w:pStyle w:val="NormalWeb"/>
      </w:pPr>
      <w:r>
        <w:t>  e. all hard surfaces are permeable surfaces where reasonably practicable and having regard to groundwater protection; </w:t>
      </w:r>
    </w:p>
    <w:p w14:paraId="767250BD" w14:textId="77777777" w:rsidR="00D8709E" w:rsidRDefault="00D8709E" w:rsidP="00D8709E">
      <w:pPr>
        <w:pStyle w:val="NormalWeb"/>
      </w:pPr>
      <w:r>
        <w:t xml:space="preserve">  f. any flat roof is a green or brown roof, </w:t>
      </w:r>
      <w:proofErr w:type="gramStart"/>
      <w:r>
        <w:t>provided that</w:t>
      </w:r>
      <w:proofErr w:type="gramEnd"/>
      <w:r>
        <w:t xml:space="preserve"> it is acceptable in terms of its context, its relationship with the historic environment, and the structural capacity of the roof if it is a refurbishment; </w:t>
      </w:r>
    </w:p>
    <w:p w14:paraId="1A905D65" w14:textId="77777777" w:rsidR="00D8709E" w:rsidRDefault="00D8709E" w:rsidP="00D8709E">
      <w:pPr>
        <w:pStyle w:val="NormalWeb"/>
      </w:pPr>
      <w:r>
        <w:t xml:space="preserve">  g. </w:t>
      </w:r>
      <w:proofErr w:type="spellStart"/>
      <w:r>
        <w:t>SuDS</w:t>
      </w:r>
      <w:proofErr w:type="spellEnd"/>
      <w:r>
        <w:t xml:space="preserve"> have been designed to manage water quality to minimise the risk of pollution and sediment entering watercourses; and </w:t>
      </w:r>
    </w:p>
    <w:p w14:paraId="2F5BB38D" w14:textId="77777777" w:rsidR="00D8709E" w:rsidRDefault="00D8709E" w:rsidP="00D8709E">
      <w:pPr>
        <w:pStyle w:val="NormalWeb"/>
      </w:pPr>
      <w:r>
        <w:lastRenderedPageBreak/>
        <w:t xml:space="preserve">  h. details of the future management, maintenance and adoption of the </w:t>
      </w:r>
      <w:proofErr w:type="spellStart"/>
      <w:r>
        <w:t>SuDS</w:t>
      </w:r>
      <w:proofErr w:type="spellEnd"/>
      <w:r>
        <w:t xml:space="preserve"> are provided to ensure they will function effectively over the lifetime of the development. </w:t>
      </w:r>
    </w:p>
    <w:p w14:paraId="6C03E31D" w14:textId="77777777" w:rsidR="00D8709E" w:rsidRDefault="00D8709E" w:rsidP="00D8709E">
      <w:pPr>
        <w:pStyle w:val="NormalWeb"/>
      </w:pPr>
      <w:r>
        <w:t xml:space="preserve">5. The design and implementation of </w:t>
      </w:r>
      <w:proofErr w:type="spellStart"/>
      <w:r>
        <w:t>SuDS</w:t>
      </w:r>
      <w:proofErr w:type="spellEnd"/>
      <w:r>
        <w:t xml:space="preserve"> must be in line with the updated Construction Industry Research and Information Association (CIRIA) </w:t>
      </w:r>
      <w:proofErr w:type="spellStart"/>
      <w:r>
        <w:t>SuDS</w:t>
      </w:r>
      <w:proofErr w:type="spellEnd"/>
      <w:r>
        <w:t xml:space="preserve"> Manual and the National Standards for </w:t>
      </w:r>
      <w:proofErr w:type="spellStart"/>
      <w:r>
        <w:t>SuDS</w:t>
      </w:r>
      <w:proofErr w:type="spellEnd"/>
      <w:r>
        <w:t xml:space="preserve"> or successor documents and other best practice guidance. </w:t>
      </w:r>
    </w:p>
    <w:p w14:paraId="6C2CC6E5" w14:textId="77777777" w:rsidR="00D8709E" w:rsidRDefault="00D8709E" w:rsidP="00D8709E">
      <w:pPr>
        <w:pStyle w:val="NormalWeb"/>
      </w:pPr>
      <w:r>
        <w:rPr>
          <w:rStyle w:val="Strong"/>
          <w:rFonts w:eastAsiaTheme="majorEastAsia"/>
        </w:rPr>
        <w:t>Water quality </w:t>
      </w:r>
    </w:p>
    <w:p w14:paraId="0CD726AC" w14:textId="77777777" w:rsidR="00D8709E" w:rsidRDefault="00D8709E" w:rsidP="00D8709E">
      <w:pPr>
        <w:pStyle w:val="NormalWeb"/>
      </w:pPr>
      <w:r>
        <w:t>6. To protect and enhance water quality, all development proposals must demonstrate that: </w:t>
      </w:r>
    </w:p>
    <w:p w14:paraId="34F3421E" w14:textId="77777777" w:rsidR="00D8709E" w:rsidRDefault="00D8709E" w:rsidP="00D8709E">
      <w:pPr>
        <w:pStyle w:val="NormalWeb"/>
      </w:pPr>
      <w:r>
        <w:t>  a. there is capacity for wastewater treatment and adequate wastewater conveyancing infrastructure to serve the whole development, or an agreement is in place with the relevant service provider to ensure the provision of the necessary infrastructure prior to the occupation of the development (where development is being phased, this must be demonstrated for each phase before first occupation); </w:t>
      </w:r>
    </w:p>
    <w:p w14:paraId="733C4420" w14:textId="77777777" w:rsidR="00D8709E" w:rsidRDefault="00D8709E" w:rsidP="00D8709E">
      <w:pPr>
        <w:pStyle w:val="NormalWeb"/>
      </w:pPr>
      <w:r>
        <w:t>  b. appropriate water treatment and pollution control measures have been incorporated into the proposed foul and surface-water drainage systems to minimise the risk of water pollution; and </w:t>
      </w:r>
    </w:p>
    <w:p w14:paraId="6A0E678C" w14:textId="77777777" w:rsidR="00D8709E" w:rsidRDefault="00D8709E" w:rsidP="00D8709E">
      <w:pPr>
        <w:pStyle w:val="NormalWeb"/>
      </w:pPr>
      <w:r>
        <w:t>  c. the quality of ground water and water bodies will not be harmed by the construction or operation of the development, and that opportunities have been explored and taken to maintain or improve water quality, including through nature- based solutions. </w:t>
      </w:r>
    </w:p>
    <w:p w14:paraId="45A763AA" w14:textId="77777777" w:rsidR="00D8709E" w:rsidRDefault="00D8709E" w:rsidP="00D8709E">
      <w:pPr>
        <w:pStyle w:val="NormalWeb"/>
      </w:pPr>
      <w:r>
        <w:t>7. Foul drainage to a public sewer should be provided where possible. Where it is demonstrated that this would not be feasible, alternative facilities may be allowed provided they do not pose an unacceptable risk to water quality or quantity for the lifetime of the development. </w:t>
      </w:r>
    </w:p>
    <w:p w14:paraId="75DE9706" w14:textId="599BBEF3" w:rsidR="00D8709E" w:rsidRDefault="001F399E">
      <w:r>
        <w:t>CC/CE</w:t>
      </w:r>
    </w:p>
    <w:p w14:paraId="18AC7B02" w14:textId="77777777" w:rsidR="0060271C" w:rsidRDefault="0060271C" w:rsidP="0060271C">
      <w:pPr>
        <w:pStyle w:val="NormalWeb"/>
      </w:pPr>
      <w:r>
        <w:t>1. All development proposals should, where practical and viable, take opportunities to reduce the development’s embodied carbon content through the careful choice, use and sourcing of materials. </w:t>
      </w:r>
    </w:p>
    <w:p w14:paraId="2BF7B0C7" w14:textId="77777777" w:rsidR="0060271C" w:rsidRDefault="0060271C" w:rsidP="0060271C">
      <w:pPr>
        <w:pStyle w:val="NormalWeb"/>
      </w:pPr>
      <w:r>
        <w:t>2. To avoid the wastage of embodied carbon in existing buildings and to avoid the creation of new embodied carbon in replacement buildings, there is a presumption in favour of repairing, refurbishing, and re-using existing buildings over their demolition. Proposals that result in the demolition of a building (in whole or a significant part) should be accompanied by a full justification for the demolition. Demolition will only be acceptable where it is demonstrated to the satisfaction of the Local Planning Authority that: </w:t>
      </w:r>
    </w:p>
    <w:p w14:paraId="58458CD8" w14:textId="77777777" w:rsidR="0060271C" w:rsidRDefault="0060271C" w:rsidP="0060271C">
      <w:pPr>
        <w:pStyle w:val="NormalWeb"/>
      </w:pPr>
      <w:r>
        <w:t>  a. the building proposed for demolition is in a state of such disrepair that it is not practical or viable to be repaired, refurbished, or re-used (for reasons other than deliberate damage or neglect); </w:t>
      </w:r>
    </w:p>
    <w:p w14:paraId="7F393067" w14:textId="77777777" w:rsidR="0060271C" w:rsidRDefault="0060271C" w:rsidP="0060271C">
      <w:pPr>
        <w:pStyle w:val="NormalWeb"/>
      </w:pPr>
      <w:r>
        <w:t xml:space="preserve">  b. repairing, refurbishing, or re-using the building would likely result in similar or higher levels of newly generated up-front embodied carbon (modules A1-A5 of the RICS </w:t>
      </w:r>
      <w:r>
        <w:lastRenderedPageBreak/>
        <w:t>methodology) compared to demolition and re-construction, with reference to relevant requirements in policy CC/NZ for new buildings; </w:t>
      </w:r>
    </w:p>
    <w:p w14:paraId="5002DBE0" w14:textId="77777777" w:rsidR="0060271C" w:rsidRDefault="0060271C" w:rsidP="0060271C">
      <w:pPr>
        <w:pStyle w:val="NormalWeb"/>
      </w:pPr>
      <w:r>
        <w:t>  c. repairing, refurbishing, or re-using the building would create a building with such poor thermal efficiency that, when considering lifecycle embodied carbon (i.e. modules A1- A5, B1-B5 and C1-C4), a lower net-carbon solution would arise from demolition and re-construction; or </w:t>
      </w:r>
    </w:p>
    <w:p w14:paraId="18B9EEFA" w14:textId="77777777" w:rsidR="0060271C" w:rsidRDefault="0060271C" w:rsidP="0060271C">
      <w:pPr>
        <w:pStyle w:val="NormalWeb"/>
      </w:pPr>
      <w:r>
        <w:t>  d. demolition of the building and construction of a new building would, on an exceptional basis, deliver other significant benefits that outweigh the carbon savings that would arise from the building being repaired, or re-used. </w:t>
      </w:r>
    </w:p>
    <w:p w14:paraId="3011B50D" w14:textId="77777777" w:rsidR="0060271C" w:rsidRDefault="0060271C" w:rsidP="0060271C">
      <w:pPr>
        <w:pStyle w:val="NormalWeb"/>
      </w:pPr>
      <w:r>
        <w:t xml:space="preserve">Where demolition </w:t>
      </w:r>
      <w:proofErr w:type="gramStart"/>
      <w:r>
        <w:t>is considered to be</w:t>
      </w:r>
      <w:proofErr w:type="gramEnd"/>
      <w:r>
        <w:t xml:space="preserve"> acceptable after these steps have been followed, proposals should seek all possible opportunities to integrate wider circular economy principles through the reuse of materials arising from demolition or make those materials available for wider reuse and recycling where possible. </w:t>
      </w:r>
    </w:p>
    <w:p w14:paraId="325B9176" w14:textId="77777777" w:rsidR="0060271C" w:rsidRDefault="0060271C" w:rsidP="0060271C">
      <w:pPr>
        <w:pStyle w:val="NormalWeb"/>
      </w:pPr>
      <w:r>
        <w:rPr>
          <w:rStyle w:val="Strong"/>
          <w:rFonts w:eastAsiaTheme="majorEastAsia"/>
        </w:rPr>
        <w:t>Operational waste management </w:t>
      </w:r>
    </w:p>
    <w:p w14:paraId="7DE81842" w14:textId="77777777" w:rsidR="0060271C" w:rsidRDefault="0060271C" w:rsidP="0060271C">
      <w:pPr>
        <w:pStyle w:val="NormalWeb"/>
      </w:pPr>
      <w:r>
        <w:t>3. All proposals must provide adequate and easily accessible waste storage and collection systems that encourage recycling and other forms of sustainable waste management such as composting. </w:t>
      </w:r>
    </w:p>
    <w:p w14:paraId="4BF78540" w14:textId="77777777" w:rsidR="0060271C" w:rsidRDefault="0060271C" w:rsidP="0060271C">
      <w:pPr>
        <w:pStyle w:val="NormalWeb"/>
      </w:pPr>
      <w:r>
        <w:t>4. Proposals should comply with the RECAP Waste Management Design Guide (or successor documents). Proposals that exceed these requirements or propose innovative approaches to waste management will be supported, subject to accordance with other requirements in the Plan. </w:t>
      </w:r>
    </w:p>
    <w:p w14:paraId="71BFCA07" w14:textId="77777777" w:rsidR="0060271C" w:rsidRDefault="0060271C" w:rsidP="0060271C">
      <w:pPr>
        <w:pStyle w:val="NormalWeb"/>
      </w:pPr>
      <w:r>
        <w:rPr>
          <w:rStyle w:val="Strong"/>
          <w:rFonts w:eastAsiaTheme="majorEastAsia"/>
        </w:rPr>
        <w:t>Circular Economy Statements </w:t>
      </w:r>
    </w:p>
    <w:p w14:paraId="65B67051" w14:textId="77777777" w:rsidR="0060271C" w:rsidRDefault="0060271C" w:rsidP="0060271C">
      <w:pPr>
        <w:pStyle w:val="NormalWeb"/>
      </w:pPr>
      <w:r>
        <w:t>5. A Circular Economy Statement proportionate to the scale and nature of the proposed development must be submitted as part of a planning application for the following types of development: </w:t>
      </w:r>
    </w:p>
    <w:p w14:paraId="22FFC458" w14:textId="77777777" w:rsidR="0060271C" w:rsidRDefault="0060271C" w:rsidP="0060271C">
      <w:pPr>
        <w:pStyle w:val="NormalWeb"/>
      </w:pPr>
      <w:r>
        <w:t>  a. Residential development of 150 or more dwellings; or </w:t>
      </w:r>
    </w:p>
    <w:p w14:paraId="491C338B" w14:textId="77777777" w:rsidR="0060271C" w:rsidRDefault="0060271C" w:rsidP="0060271C">
      <w:pPr>
        <w:pStyle w:val="NormalWeb"/>
      </w:pPr>
      <w:r>
        <w:t>  b. Non-residential development with a total gross internal floorspace of 15,000 square metres or more; or </w:t>
      </w:r>
    </w:p>
    <w:p w14:paraId="59F23196" w14:textId="77777777" w:rsidR="0060271C" w:rsidRDefault="0060271C" w:rsidP="0060271C">
      <w:pPr>
        <w:pStyle w:val="NormalWeb"/>
      </w:pPr>
      <w:r>
        <w:t>  c. Any major development proposal that involves demolition. </w:t>
      </w:r>
    </w:p>
    <w:p w14:paraId="3B653C62" w14:textId="77777777" w:rsidR="0060271C" w:rsidRDefault="0060271C" w:rsidP="0060271C">
      <w:pPr>
        <w:pStyle w:val="NormalWeb"/>
      </w:pPr>
      <w:r>
        <w:t>6. For all other types of development, details proportionate to the nature and scale of development that demonstrates how circular economy principles have been integrated into the proposals must be provided as part of a Sustainability Statement. </w:t>
      </w:r>
    </w:p>
    <w:p w14:paraId="6629E0B9" w14:textId="1A74A052" w:rsidR="001F399E" w:rsidRDefault="007218E9">
      <w:r>
        <w:t>BG/</w:t>
      </w:r>
      <w:r w:rsidR="00A72377">
        <w:t>TC</w:t>
      </w:r>
    </w:p>
    <w:p w14:paraId="41ABF419" w14:textId="77777777" w:rsidR="000849D9" w:rsidRDefault="000849D9" w:rsidP="000849D9">
      <w:pPr>
        <w:pStyle w:val="NormalWeb"/>
      </w:pPr>
      <w:r>
        <w:t>The policy will require development proposals to: </w:t>
      </w:r>
    </w:p>
    <w:p w14:paraId="7CC03B92" w14:textId="77777777" w:rsidR="000849D9" w:rsidRDefault="000849D9" w:rsidP="000849D9">
      <w:pPr>
        <w:pStyle w:val="NormalWeb"/>
        <w:numPr>
          <w:ilvl w:val="0"/>
          <w:numId w:val="3"/>
        </w:numPr>
      </w:pPr>
      <w:r>
        <w:t>preserve, protect and increase the amount and distribution of tree canopy cover. </w:t>
      </w:r>
    </w:p>
    <w:p w14:paraId="75BA3DBB" w14:textId="77777777" w:rsidR="000849D9" w:rsidRDefault="000849D9" w:rsidP="000849D9">
      <w:pPr>
        <w:pStyle w:val="NormalWeb"/>
        <w:numPr>
          <w:ilvl w:val="0"/>
          <w:numId w:val="3"/>
        </w:numPr>
      </w:pPr>
      <w:r>
        <w:lastRenderedPageBreak/>
        <w:t>protect and enhance the tree population on site, including its diversity and distribution. </w:t>
      </w:r>
    </w:p>
    <w:p w14:paraId="04DF2C25" w14:textId="77777777" w:rsidR="000849D9" w:rsidRDefault="000849D9" w:rsidP="000849D9">
      <w:pPr>
        <w:pStyle w:val="NormalWeb"/>
        <w:numPr>
          <w:ilvl w:val="0"/>
          <w:numId w:val="3"/>
        </w:numPr>
      </w:pPr>
      <w:r>
        <w:t>protect existing trees of value (including landscape, heritage, cultural, amenity, biodiversity, ecosystem service or aesthetic value) as measured by a recognised tool such as </w:t>
      </w:r>
      <w:proofErr w:type="spellStart"/>
      <w:r>
        <w:fldChar w:fldCharType="begin"/>
      </w:r>
      <w:r>
        <w:instrText>HYPERLINK "https://www.itreetools.org/" \t "_blank"</w:instrText>
      </w:r>
      <w:r>
        <w:fldChar w:fldCharType="separate"/>
      </w:r>
      <w:r>
        <w:rPr>
          <w:rStyle w:val="Hyperlink"/>
          <w:rFonts w:eastAsiaTheme="majorEastAsia"/>
        </w:rPr>
        <w:t>iTree</w:t>
      </w:r>
      <w:proofErr w:type="spellEnd"/>
      <w:r>
        <w:fldChar w:fldCharType="end"/>
      </w:r>
      <w:r>
        <w:t>. </w:t>
      </w:r>
    </w:p>
    <w:p w14:paraId="00AD28A4" w14:textId="77777777" w:rsidR="000849D9" w:rsidRDefault="000849D9" w:rsidP="000849D9">
      <w:pPr>
        <w:pStyle w:val="NormalWeb"/>
        <w:numPr>
          <w:ilvl w:val="0"/>
          <w:numId w:val="3"/>
        </w:numPr>
      </w:pPr>
      <w:r>
        <w:t>protect existing hedgerows and the surrounding land that supports them, and to require the planting of new ones where appropriate </w:t>
      </w:r>
    </w:p>
    <w:p w14:paraId="0DFCBA9A" w14:textId="77777777" w:rsidR="000849D9" w:rsidRDefault="000849D9" w:rsidP="000849D9">
      <w:pPr>
        <w:pStyle w:val="NormalWeb"/>
        <w:numPr>
          <w:ilvl w:val="0"/>
          <w:numId w:val="4"/>
        </w:numPr>
      </w:pPr>
      <w:r>
        <w:t>provide sufficient space above and below ground for trees and other vegetation to mature.         </w:t>
      </w:r>
    </w:p>
    <w:p w14:paraId="338F6111" w14:textId="77777777" w:rsidR="000849D9" w:rsidRDefault="000849D9" w:rsidP="000849D9">
      <w:pPr>
        <w:pStyle w:val="NormalWeb"/>
        <w:numPr>
          <w:ilvl w:val="0"/>
          <w:numId w:val="4"/>
        </w:numPr>
      </w:pPr>
      <w:r>
        <w:t>provide appropriate replacement tree or hedgerow planting, where felling is proved necessary. </w:t>
      </w:r>
    </w:p>
    <w:p w14:paraId="1E8B9438" w14:textId="77777777" w:rsidR="000849D9" w:rsidRDefault="000849D9" w:rsidP="000849D9">
      <w:pPr>
        <w:pStyle w:val="NormalWeb"/>
      </w:pPr>
      <w:r>
        <w:t>The policy will also encourage the provision of new woodland of locally appropriate species in appropriate locations.</w:t>
      </w:r>
    </w:p>
    <w:p w14:paraId="6B7FAFCD" w14:textId="77777777" w:rsidR="00A72377" w:rsidRDefault="00A72377"/>
    <w:p w14:paraId="6A6194BE" w14:textId="2F7F7EEB" w:rsidR="00A72377" w:rsidRDefault="00A72377">
      <w:r>
        <w:t>BG/RC</w:t>
      </w:r>
    </w:p>
    <w:p w14:paraId="6B9F3777" w14:textId="77777777" w:rsidR="00535CA2" w:rsidRDefault="00535CA2" w:rsidP="00535CA2">
      <w:pPr>
        <w:pStyle w:val="NormalWeb"/>
      </w:pPr>
      <w:r>
        <w:t>1. along river corridors and their tributaries must demonstrate how it: </w:t>
      </w:r>
    </w:p>
    <w:p w14:paraId="561FBDD9" w14:textId="77777777" w:rsidR="00535CA2" w:rsidRDefault="00535CA2" w:rsidP="00535CA2">
      <w:pPr>
        <w:pStyle w:val="NormalWeb"/>
      </w:pPr>
      <w:r>
        <w:t>  a. Protects and enhances views to and from the river. </w:t>
      </w:r>
    </w:p>
    <w:p w14:paraId="1AC32425" w14:textId="77777777" w:rsidR="00535CA2" w:rsidRDefault="00535CA2" w:rsidP="00535CA2">
      <w:pPr>
        <w:pStyle w:val="NormalWeb"/>
      </w:pPr>
      <w:r>
        <w:t xml:space="preserve">  b. Ensures that the location, scale and design of development </w:t>
      </w:r>
      <w:proofErr w:type="gramStart"/>
      <w:r>
        <w:t>protects</w:t>
      </w:r>
      <w:proofErr w:type="gramEnd"/>
      <w:r>
        <w:t xml:space="preserve"> and enhances the character, biodiversity, visual amenity and historic significance of river corridors and connected locations. </w:t>
      </w:r>
    </w:p>
    <w:p w14:paraId="4B4E7203" w14:textId="77777777" w:rsidR="00535CA2" w:rsidRDefault="00535CA2" w:rsidP="00535CA2">
      <w:pPr>
        <w:pStyle w:val="NormalWeb"/>
      </w:pPr>
      <w:r>
        <w:t>  c. Protects, enhances and restores natural features, including: </w:t>
      </w:r>
    </w:p>
    <w:p w14:paraId="1B78BD60" w14:textId="77777777" w:rsidR="00535CA2" w:rsidRDefault="00535CA2" w:rsidP="00535CA2">
      <w:pPr>
        <w:pStyle w:val="NormalWeb"/>
      </w:pPr>
      <w:r>
        <w:t xml:space="preserve">    </w:t>
      </w:r>
      <w:proofErr w:type="spellStart"/>
      <w:r>
        <w:t>i</w:t>
      </w:r>
      <w:proofErr w:type="spellEnd"/>
      <w:r>
        <w:t xml:space="preserve">. Supporting the </w:t>
      </w:r>
      <w:proofErr w:type="spellStart"/>
      <w:r>
        <w:t>renaturalisation</w:t>
      </w:r>
      <w:proofErr w:type="spellEnd"/>
      <w:r>
        <w:t xml:space="preserve"> of the rivers and their processes. </w:t>
      </w:r>
    </w:p>
    <w:p w14:paraId="0205CF04" w14:textId="77777777" w:rsidR="00535CA2" w:rsidRDefault="00535CA2" w:rsidP="00535CA2">
      <w:pPr>
        <w:pStyle w:val="NormalWeb"/>
      </w:pPr>
      <w:r>
        <w:t xml:space="preserve">    ii. Restoring natural floodplains and integration of </w:t>
      </w:r>
      <w:proofErr w:type="gramStart"/>
      <w:r>
        <w:t>nature based</w:t>
      </w:r>
      <w:proofErr w:type="gramEnd"/>
      <w:r>
        <w:t xml:space="preserve"> solutions to protect communities at risk of flooding. </w:t>
      </w:r>
    </w:p>
    <w:p w14:paraId="33E37657" w14:textId="77777777" w:rsidR="00535CA2" w:rsidRDefault="00535CA2" w:rsidP="00535CA2">
      <w:pPr>
        <w:pStyle w:val="NormalWeb"/>
      </w:pPr>
      <w:r>
        <w:t>    iii. Establishing riparian habitats where appropriate. </w:t>
      </w:r>
    </w:p>
    <w:p w14:paraId="383FAFB1" w14:textId="77777777" w:rsidR="00535CA2" w:rsidRDefault="00535CA2" w:rsidP="00535CA2">
      <w:pPr>
        <w:pStyle w:val="NormalWeb"/>
      </w:pPr>
      <w:r>
        <w:t>  d. Protects and enhances the existing landscape of river corridors, referring to the Landscape Character Assessment and the Local Nature Recovery Strategy for guidance. </w:t>
      </w:r>
    </w:p>
    <w:p w14:paraId="7E43D9BC" w14:textId="77777777" w:rsidR="00535CA2" w:rsidRDefault="00535CA2" w:rsidP="00535CA2">
      <w:pPr>
        <w:pStyle w:val="NormalWeb"/>
      </w:pPr>
      <w:r>
        <w:t>  e. Supports enhanced access to, from and along river corridors for walking and cycling, whilst balancing this with the need to protect and enhance habitats for biodiversity, including: </w:t>
      </w:r>
    </w:p>
    <w:p w14:paraId="0C050998" w14:textId="77777777" w:rsidR="00535CA2" w:rsidRDefault="00535CA2" w:rsidP="00535CA2">
      <w:pPr>
        <w:pStyle w:val="NormalWeb"/>
      </w:pPr>
      <w:r>
        <w:t xml:space="preserve">    </w:t>
      </w:r>
      <w:proofErr w:type="spellStart"/>
      <w:r>
        <w:t>i</w:t>
      </w:r>
      <w:proofErr w:type="spellEnd"/>
      <w:r>
        <w:t>. For the river Cam, supporting the delivery of a continuous Cam Valley Trail. </w:t>
      </w:r>
    </w:p>
    <w:p w14:paraId="384DCF48" w14:textId="77777777" w:rsidR="00535CA2" w:rsidRDefault="00535CA2" w:rsidP="00535CA2">
      <w:pPr>
        <w:pStyle w:val="NormalWeb"/>
      </w:pPr>
      <w:r>
        <w:t>    ii. Enhancing connections between the rivers and other green spaces. </w:t>
      </w:r>
    </w:p>
    <w:p w14:paraId="1C15C670" w14:textId="77777777" w:rsidR="00535CA2" w:rsidRDefault="00535CA2" w:rsidP="00535CA2">
      <w:pPr>
        <w:pStyle w:val="NormalWeb"/>
      </w:pPr>
      <w:r>
        <w:t>    iii. Providing improved wayfinding and interpretation resources. </w:t>
      </w:r>
    </w:p>
    <w:p w14:paraId="0A6A82E5" w14:textId="77777777" w:rsidR="00535CA2" w:rsidRDefault="00535CA2" w:rsidP="00535CA2">
      <w:pPr>
        <w:pStyle w:val="NormalWeb"/>
      </w:pPr>
      <w:r>
        <w:lastRenderedPageBreak/>
        <w:t>  f. Supports tourism and recreation associated with river corridors in appropriate locations, whilst ensuring that this does not impact negatively on the other roles of a river.</w:t>
      </w:r>
    </w:p>
    <w:p w14:paraId="332C3441" w14:textId="77777777" w:rsidR="00535CA2" w:rsidRDefault="00535CA2" w:rsidP="00535CA2">
      <w:pPr>
        <w:pStyle w:val="NormalWeb"/>
      </w:pPr>
      <w:r>
        <w:rPr>
          <w:rStyle w:val="Strong"/>
          <w:rFonts w:eastAsiaTheme="majorEastAsia"/>
        </w:rPr>
        <w:t>Riparian Buffer Zones </w:t>
      </w:r>
    </w:p>
    <w:p w14:paraId="41DD69C5" w14:textId="77777777" w:rsidR="00535CA2" w:rsidRDefault="00535CA2" w:rsidP="00535CA2">
      <w:pPr>
        <w:pStyle w:val="NormalWeb"/>
      </w:pPr>
      <w:r>
        <w:t>2. To help protect water quality and watercourse habitats, development proposals should retain or reinstate a buffer zone of at least 15m from the watercourse bank top, or 10m from a ditch bank top, according to the River/Ditch definitions set out under current BNG User Guidance. Within these riparian buffer zones, no development shall be permitted except for domestic extensions, soft landscaping, small amenity areas, or proposals where it is necessary for the nature and function of the development. In these exceptional cases, details proportionate to the scale and nature of the development must be submitted for approval to demonstrate: </w:t>
      </w:r>
    </w:p>
    <w:p w14:paraId="662F8155" w14:textId="77777777" w:rsidR="00535CA2" w:rsidRDefault="00535CA2" w:rsidP="00535CA2">
      <w:pPr>
        <w:pStyle w:val="NormalWeb"/>
      </w:pPr>
      <w:r>
        <w:t>  a. that the development needs to be located within the riparian buffer zone and that there are no suitable alternatives; </w:t>
      </w:r>
    </w:p>
    <w:p w14:paraId="478180C1" w14:textId="77777777" w:rsidR="00535CA2" w:rsidRDefault="00535CA2" w:rsidP="00535CA2">
      <w:pPr>
        <w:pStyle w:val="NormalWeb"/>
      </w:pPr>
      <w:r>
        <w:t>  b. that the proposed development will not cause significant harm to watercourses over the lifetime of the development; and </w:t>
      </w:r>
    </w:p>
    <w:p w14:paraId="4E355503" w14:textId="77777777" w:rsidR="00535CA2" w:rsidRDefault="00535CA2" w:rsidP="00535CA2">
      <w:pPr>
        <w:pStyle w:val="NormalWeb"/>
      </w:pPr>
      <w:r>
        <w:t>  c. how the riparian buffer zone will be protected. </w:t>
      </w:r>
    </w:p>
    <w:p w14:paraId="457C83E7" w14:textId="77777777" w:rsidR="000849D9" w:rsidRDefault="000849D9"/>
    <w:p w14:paraId="3DA90FE0" w14:textId="77777777" w:rsidR="000849D9" w:rsidRDefault="000849D9"/>
    <w:p w14:paraId="51EEF2A1" w14:textId="77777777" w:rsidR="007218E9" w:rsidRPr="00352F17" w:rsidRDefault="007218E9"/>
    <w:sectPr w:rsidR="007218E9" w:rsidRPr="00352F1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497C9" w14:textId="77777777" w:rsidR="00E95BFD" w:rsidRDefault="00E95BFD" w:rsidP="005F0F07">
      <w:pPr>
        <w:spacing w:after="0" w:line="240" w:lineRule="auto"/>
      </w:pPr>
      <w:r>
        <w:separator/>
      </w:r>
    </w:p>
  </w:endnote>
  <w:endnote w:type="continuationSeparator" w:id="0">
    <w:p w14:paraId="56B69B11" w14:textId="77777777" w:rsidR="00E95BFD" w:rsidRDefault="00E95BFD" w:rsidP="005F0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36366"/>
      <w:docPartObj>
        <w:docPartGallery w:val="Page Numbers (Bottom of Page)"/>
        <w:docPartUnique/>
      </w:docPartObj>
    </w:sdtPr>
    <w:sdtEndPr>
      <w:rPr>
        <w:noProof/>
      </w:rPr>
    </w:sdtEndPr>
    <w:sdtContent>
      <w:p w14:paraId="6812F978" w14:textId="397CBA79" w:rsidR="005F0F07" w:rsidRDefault="005F0F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785E4B" w14:textId="77777777" w:rsidR="005F0F07" w:rsidRDefault="005F0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9FB4" w14:textId="77777777" w:rsidR="00E95BFD" w:rsidRDefault="00E95BFD" w:rsidP="005F0F07">
      <w:pPr>
        <w:spacing w:after="0" w:line="240" w:lineRule="auto"/>
      </w:pPr>
      <w:r>
        <w:separator/>
      </w:r>
    </w:p>
  </w:footnote>
  <w:footnote w:type="continuationSeparator" w:id="0">
    <w:p w14:paraId="4C24D84E" w14:textId="77777777" w:rsidR="00E95BFD" w:rsidRDefault="00E95BFD" w:rsidP="005F0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2C6"/>
    <w:multiLevelType w:val="multilevel"/>
    <w:tmpl w:val="9ED4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F518A"/>
    <w:multiLevelType w:val="multilevel"/>
    <w:tmpl w:val="D68A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F84CA3"/>
    <w:multiLevelType w:val="multilevel"/>
    <w:tmpl w:val="8D74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7663F5"/>
    <w:multiLevelType w:val="multilevel"/>
    <w:tmpl w:val="19DC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642502">
    <w:abstractNumId w:val="1"/>
  </w:num>
  <w:num w:numId="2" w16cid:durableId="1002582800">
    <w:abstractNumId w:val="3"/>
  </w:num>
  <w:num w:numId="3" w16cid:durableId="1273898606">
    <w:abstractNumId w:val="2"/>
  </w:num>
  <w:num w:numId="4" w16cid:durableId="1999193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F17"/>
    <w:rsid w:val="00053CA7"/>
    <w:rsid w:val="000849D9"/>
    <w:rsid w:val="000E66BF"/>
    <w:rsid w:val="001F399E"/>
    <w:rsid w:val="00352F17"/>
    <w:rsid w:val="003A2F5D"/>
    <w:rsid w:val="00436E25"/>
    <w:rsid w:val="005037C6"/>
    <w:rsid w:val="00535CA2"/>
    <w:rsid w:val="005C447F"/>
    <w:rsid w:val="005F0F07"/>
    <w:rsid w:val="0060271C"/>
    <w:rsid w:val="00671B1F"/>
    <w:rsid w:val="006B22C2"/>
    <w:rsid w:val="007218E9"/>
    <w:rsid w:val="00A72377"/>
    <w:rsid w:val="00A772BA"/>
    <w:rsid w:val="00B216E1"/>
    <w:rsid w:val="00BC12A0"/>
    <w:rsid w:val="00CD7AF8"/>
    <w:rsid w:val="00D4536B"/>
    <w:rsid w:val="00D8709E"/>
    <w:rsid w:val="00E95BFD"/>
    <w:rsid w:val="00FD6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B838"/>
  <w15:chartTrackingRefBased/>
  <w15:docId w15:val="{FE1CC7AE-E407-4A39-BF94-210EAF55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F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F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F17"/>
    <w:rPr>
      <w:rFonts w:eastAsiaTheme="majorEastAsia" w:cstheme="majorBidi"/>
      <w:color w:val="272727" w:themeColor="text1" w:themeTint="D8"/>
    </w:rPr>
  </w:style>
  <w:style w:type="paragraph" w:styleId="Title">
    <w:name w:val="Title"/>
    <w:basedOn w:val="Normal"/>
    <w:next w:val="Normal"/>
    <w:link w:val="TitleChar"/>
    <w:uiPriority w:val="10"/>
    <w:qFormat/>
    <w:rsid w:val="00352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F17"/>
    <w:pPr>
      <w:spacing w:before="160"/>
      <w:jc w:val="center"/>
    </w:pPr>
    <w:rPr>
      <w:i/>
      <w:iCs/>
      <w:color w:val="404040" w:themeColor="text1" w:themeTint="BF"/>
    </w:rPr>
  </w:style>
  <w:style w:type="character" w:customStyle="1" w:styleId="QuoteChar">
    <w:name w:val="Quote Char"/>
    <w:basedOn w:val="DefaultParagraphFont"/>
    <w:link w:val="Quote"/>
    <w:uiPriority w:val="29"/>
    <w:rsid w:val="00352F17"/>
    <w:rPr>
      <w:i/>
      <w:iCs/>
      <w:color w:val="404040" w:themeColor="text1" w:themeTint="BF"/>
    </w:rPr>
  </w:style>
  <w:style w:type="paragraph" w:styleId="ListParagraph">
    <w:name w:val="List Paragraph"/>
    <w:basedOn w:val="Normal"/>
    <w:uiPriority w:val="34"/>
    <w:qFormat/>
    <w:rsid w:val="00352F17"/>
    <w:pPr>
      <w:ind w:left="720"/>
      <w:contextualSpacing/>
    </w:pPr>
  </w:style>
  <w:style w:type="character" w:styleId="IntenseEmphasis">
    <w:name w:val="Intense Emphasis"/>
    <w:basedOn w:val="DefaultParagraphFont"/>
    <w:uiPriority w:val="21"/>
    <w:qFormat/>
    <w:rsid w:val="00352F17"/>
    <w:rPr>
      <w:i/>
      <w:iCs/>
      <w:color w:val="0F4761" w:themeColor="accent1" w:themeShade="BF"/>
    </w:rPr>
  </w:style>
  <w:style w:type="paragraph" w:styleId="IntenseQuote">
    <w:name w:val="Intense Quote"/>
    <w:basedOn w:val="Normal"/>
    <w:next w:val="Normal"/>
    <w:link w:val="IntenseQuoteChar"/>
    <w:uiPriority w:val="30"/>
    <w:qFormat/>
    <w:rsid w:val="00352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F17"/>
    <w:rPr>
      <w:i/>
      <w:iCs/>
      <w:color w:val="0F4761" w:themeColor="accent1" w:themeShade="BF"/>
    </w:rPr>
  </w:style>
  <w:style w:type="character" w:styleId="IntenseReference">
    <w:name w:val="Intense Reference"/>
    <w:basedOn w:val="DefaultParagraphFont"/>
    <w:uiPriority w:val="32"/>
    <w:qFormat/>
    <w:rsid w:val="00352F17"/>
    <w:rPr>
      <w:b/>
      <w:bCs/>
      <w:smallCaps/>
      <w:color w:val="0F4761" w:themeColor="accent1" w:themeShade="BF"/>
      <w:spacing w:val="5"/>
    </w:rPr>
  </w:style>
  <w:style w:type="paragraph" w:styleId="NormalWeb">
    <w:name w:val="Normal (Web)"/>
    <w:basedOn w:val="Normal"/>
    <w:uiPriority w:val="99"/>
    <w:semiHidden/>
    <w:unhideWhenUsed/>
    <w:rsid w:val="005037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8709E"/>
    <w:rPr>
      <w:b/>
      <w:bCs/>
    </w:rPr>
  </w:style>
  <w:style w:type="character" w:styleId="Hyperlink">
    <w:name w:val="Hyperlink"/>
    <w:basedOn w:val="DefaultParagraphFont"/>
    <w:uiPriority w:val="99"/>
    <w:semiHidden/>
    <w:unhideWhenUsed/>
    <w:rsid w:val="000849D9"/>
    <w:rPr>
      <w:color w:val="0000FF"/>
      <w:u w:val="single"/>
    </w:rPr>
  </w:style>
  <w:style w:type="paragraph" w:styleId="Header">
    <w:name w:val="header"/>
    <w:basedOn w:val="Normal"/>
    <w:link w:val="HeaderChar"/>
    <w:uiPriority w:val="99"/>
    <w:unhideWhenUsed/>
    <w:rsid w:val="005F0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F07"/>
  </w:style>
  <w:style w:type="paragraph" w:styleId="Footer">
    <w:name w:val="footer"/>
    <w:basedOn w:val="Normal"/>
    <w:link w:val="FooterChar"/>
    <w:uiPriority w:val="99"/>
    <w:unhideWhenUsed/>
    <w:rsid w:val="005F0F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818345-8797-4e12-8221-842f32b80e51">
      <Terms xmlns="http://schemas.microsoft.com/office/infopath/2007/PartnerControls"/>
    </lcf76f155ced4ddcb4097134ff3c332f>
    <TaxCatchAll xmlns="d49de1d8-74a0-41f7-9fc5-84d844ae71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718BC3DD890C498DFC2B12819ABEF2" ma:contentTypeVersion="12" ma:contentTypeDescription="Create a new document." ma:contentTypeScope="" ma:versionID="6d0cd68f0e8504f05d1b66e339e2307f">
  <xsd:schema xmlns:xsd="http://www.w3.org/2001/XMLSchema" xmlns:xs="http://www.w3.org/2001/XMLSchema" xmlns:p="http://schemas.microsoft.com/office/2006/metadata/properties" xmlns:ns2="fb818345-8797-4e12-8221-842f32b80e51" xmlns:ns3="d49de1d8-74a0-41f7-9fc5-84d844ae71a6" targetNamespace="http://schemas.microsoft.com/office/2006/metadata/properties" ma:root="true" ma:fieldsID="12bb3956361aefc1bdae40c40a67e4de" ns2:_="" ns3:_="">
    <xsd:import namespace="fb818345-8797-4e12-8221-842f32b80e51"/>
    <xsd:import namespace="d49de1d8-74a0-41f7-9fc5-84d844ae71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18345-8797-4e12-8221-842f32b80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8c9f8e2-a612-4fbf-8cd2-a898b2d796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de1d8-74a0-41f7-9fc5-84d844ae71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9f5fc87-646b-4e33-8eeb-115bad3f0f73}" ma:internalName="TaxCatchAll" ma:showField="CatchAllData" ma:web="d49de1d8-74a0-41f7-9fc5-84d844ae7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02173-B30C-4129-BE42-047982960B0A}">
  <ds:schemaRefs>
    <ds:schemaRef ds:uri="http://schemas.microsoft.com/office/2006/metadata/properties"/>
    <ds:schemaRef ds:uri="http://schemas.microsoft.com/office/infopath/2007/PartnerControls"/>
    <ds:schemaRef ds:uri="fb818345-8797-4e12-8221-842f32b80e51"/>
    <ds:schemaRef ds:uri="d49de1d8-74a0-41f7-9fc5-84d844ae71a6"/>
  </ds:schemaRefs>
</ds:datastoreItem>
</file>

<file path=customXml/itemProps2.xml><?xml version="1.0" encoding="utf-8"?>
<ds:datastoreItem xmlns:ds="http://schemas.openxmlformats.org/officeDocument/2006/customXml" ds:itemID="{481F60E5-D7D3-4D31-8E6C-5D1760EBD87C}">
  <ds:schemaRefs>
    <ds:schemaRef ds:uri="http://schemas.microsoft.com/sharepoint/v3/contenttype/forms"/>
  </ds:schemaRefs>
</ds:datastoreItem>
</file>

<file path=customXml/itemProps3.xml><?xml version="1.0" encoding="utf-8"?>
<ds:datastoreItem xmlns:ds="http://schemas.openxmlformats.org/officeDocument/2006/customXml" ds:itemID="{B31863F1-07E5-4EE4-ABFC-BAAC56BA4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18345-8797-4e12-8221-842f32b80e51"/>
    <ds:schemaRef ds:uri="d49de1d8-74a0-41f7-9fc5-84d844ae7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2805</Words>
  <Characters>15994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 Rayner</dc:creator>
  <cp:keywords/>
  <dc:description/>
  <cp:lastModifiedBy>Leanne Bacon</cp:lastModifiedBy>
  <cp:revision>2</cp:revision>
  <dcterms:created xsi:type="dcterms:W3CDTF">2026-05-15T09:20:00Z</dcterms:created>
  <dcterms:modified xsi:type="dcterms:W3CDTF">2026-05-15T09:20:00Z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0x01010030718BC3DD890C498DFC2B12819ABEF2</vt:lpwstr>
  </property>
  <property fmtid="{D5CDD505-2E9C-101B-9397-08002B2CF9AE}" pid="3" name="MediaServiceImageTags">
    <vt:lpwstr/>
  </property>
</Properties>
</file>